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5B75" w14:textId="6487B6FC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C65A36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.05pt" to="5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b8uAEAAMMDAAAOAAAAZHJzL2Uyb0RvYy54bWysU8GO0zAQvSPxD5bvNGlBC4qa7qEruCCo&#10;WPYDvM64sWR7rLFp2r9n7LZZBEiI1V4cjz3vzbznyfr26J04ACWLoZfLRSsFBI2DDftePnz/+OaD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" strokecolor="#4051fb [3044]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024A5D7E" w:rsidR="004D4723" w:rsidRPr="00DF7C48" w:rsidRDefault="001D1DE1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Introduction of Compressed Payloads into DIP Messages</w:t>
            </w:r>
          </w:p>
        </w:tc>
      </w:tr>
      <w:tr w:rsidR="004D4723" w:rsidRPr="00DF7C48" w14:paraId="0B95FA46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23C32F83" w:rsidR="004D4723" w:rsidRPr="00DF7C48" w:rsidRDefault="00225B94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CR030</w:t>
            </w:r>
          </w:p>
        </w:tc>
      </w:tr>
      <w:tr w:rsidR="004D4723" w:rsidRPr="00DF7C48" w14:paraId="287C344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5FAFCB5B" w:rsidR="004D4723" w:rsidRPr="00DF7C48" w:rsidRDefault="001D1DE1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DRWG</w:t>
            </w:r>
          </w:p>
        </w:tc>
      </w:tr>
      <w:tr w:rsidR="004D4723" w:rsidRPr="00DF7C48" w14:paraId="1E28EE4E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02ADEBE9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60F9847C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7FB667CB" w:rsidR="004D4723" w:rsidRPr="00DF7C48" w:rsidRDefault="001D1DE1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R</w:t>
            </w:r>
            <w:r w:rsidR="00A9584C">
              <w:rPr>
                <w:rFonts w:cstheme="minorHAnsi"/>
                <w:i/>
                <w:iCs/>
                <w:szCs w:val="20"/>
              </w:rPr>
              <w:t>ob</w:t>
            </w:r>
            <w:r>
              <w:rPr>
                <w:rFonts w:cstheme="minorHAnsi"/>
                <w:i/>
                <w:iCs/>
                <w:szCs w:val="20"/>
              </w:rPr>
              <w:t xml:space="preserve"> Golding</w:t>
            </w:r>
            <w:r w:rsidR="00225B94">
              <w:rPr>
                <w:rFonts w:cstheme="minorHAnsi"/>
                <w:i/>
                <w:iCs/>
                <w:szCs w:val="20"/>
              </w:rPr>
              <w:t xml:space="preserve">, MHHS Programme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58111AE9" w:rsidR="00393377" w:rsidRPr="00DF7C48" w:rsidRDefault="001D1DE1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27/07/23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5337"/>
        <w:gridCol w:w="5343"/>
      </w:tblGrid>
      <w:tr w:rsidR="009D5B37" w14:paraId="5860EBB2" w14:textId="77777777" w:rsidTr="00E62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2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29B6DE7" w14:textId="724B2583" w:rsidR="00790171" w:rsidRPr="001D1DE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30E6660E" w14:textId="383CE81A" w:rsidR="001D1DE1" w:rsidRPr="00225B94" w:rsidRDefault="001D1DE1" w:rsidP="00BA4845">
            <w:pPr>
              <w:pStyle w:val="MHHSBody"/>
              <w:spacing w:after="20" w:line="0" w:lineRule="atLeast"/>
              <w:rPr>
                <w:szCs w:val="20"/>
              </w:rPr>
            </w:pPr>
            <w:r w:rsidRPr="00225B94">
              <w:rPr>
                <w:szCs w:val="20"/>
              </w:rPr>
              <w:t>Detailed analysis of the some of the ECS reports, specifically REP003, has found that some of the reports can potentially grow to a very large size ~</w:t>
            </w:r>
            <w:r w:rsidR="00FB7746" w:rsidRPr="00225B94">
              <w:rPr>
                <w:szCs w:val="20"/>
              </w:rPr>
              <w:t xml:space="preserve"> 12</w:t>
            </w:r>
            <w:r w:rsidRPr="00225B94">
              <w:rPr>
                <w:szCs w:val="20"/>
              </w:rPr>
              <w:t xml:space="preserve">MB. Within </w:t>
            </w:r>
            <w:r w:rsidR="00AB6329" w:rsidRPr="00225B94">
              <w:rPr>
                <w:szCs w:val="20"/>
              </w:rPr>
              <w:t xml:space="preserve">MHHS </w:t>
            </w:r>
            <w:r w:rsidRPr="00225B94">
              <w:rPr>
                <w:szCs w:val="20"/>
              </w:rPr>
              <w:t xml:space="preserve">message design there is a notional upper limit for the size of messages which is 1MB, and hence these messages will exceed this constraint. </w:t>
            </w:r>
          </w:p>
          <w:p w14:paraId="029A71F8" w14:textId="1F95C0AE" w:rsidR="00B0254B" w:rsidRPr="00E50124" w:rsidRDefault="00B0254B" w:rsidP="00BA4845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 w:rsidRPr="00E50124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E50124">
              <w:rPr>
                <w:szCs w:val="20"/>
              </w:rPr>
              <w:instrText xml:space="preserve"> FORMTEXT </w:instrText>
            </w:r>
            <w:r w:rsidRPr="00E50124">
              <w:rPr>
                <w:szCs w:val="20"/>
              </w:rPr>
            </w:r>
            <w:r w:rsidRPr="00E50124">
              <w:rPr>
                <w:szCs w:val="20"/>
              </w:rPr>
              <w:fldChar w:fldCharType="separate"/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Pr="00E50124">
              <w:rPr>
                <w:szCs w:val="20"/>
              </w:rPr>
              <w:fldChar w:fldCharType="end"/>
            </w:r>
            <w:bookmarkEnd w:id="0"/>
          </w:p>
        </w:tc>
      </w:tr>
      <w:tr w:rsidR="009D5B37" w14:paraId="20F0E9C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00E1B5C6" w14:textId="795A58CB" w:rsidR="002855CB" w:rsidRPr="00D07618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2480C9C5" w14:textId="77777777" w:rsidR="00D07618" w:rsidRDefault="001D1DE1" w:rsidP="002C2599">
            <w:pPr>
              <w:pStyle w:val="MHHSBody"/>
            </w:pPr>
            <w:r>
              <w:t>The proposal is to</w:t>
            </w:r>
            <w:r w:rsidR="00BF4306">
              <w:t xml:space="preserve"> introduce a new message pattern within the DIP to include compressed payload where the message payload </w:t>
            </w:r>
            <w:r>
              <w:t>is ‘compressed’ and base64 bit encoded before it is written to the message and sent.</w:t>
            </w:r>
            <w:r w:rsidR="00C16ED6">
              <w:t xml:space="preserve"> The payload compression will be implemented via gzip. </w:t>
            </w:r>
          </w:p>
          <w:p w14:paraId="1CBACB77" w14:textId="720E7361" w:rsidR="00633CE5" w:rsidRDefault="00633CE5" w:rsidP="002C2599">
            <w:pPr>
              <w:pStyle w:val="MHHSBody"/>
            </w:pPr>
            <w:r>
              <w:t>This new pattern for compressed payloads will be initially introduced for the following reports:</w:t>
            </w:r>
          </w:p>
          <w:p w14:paraId="32A77F96" w14:textId="77777777" w:rsidR="00633CE5" w:rsidRDefault="00633CE5" w:rsidP="00633CE5">
            <w:pPr>
              <w:pStyle w:val="MHHSBody"/>
            </w:pPr>
            <w:r>
              <w:t>REP-002   LDSO report for DUoS – aggregated data</w:t>
            </w:r>
          </w:p>
          <w:p w14:paraId="20E291E4" w14:textId="10554793" w:rsidR="00633CE5" w:rsidRDefault="00633CE5" w:rsidP="00633CE5">
            <w:pPr>
              <w:pStyle w:val="MHHSBody"/>
            </w:pPr>
            <w:r>
              <w:t>REP-002A  Embedded Network report for DUoS – aggregated data</w:t>
            </w:r>
          </w:p>
          <w:p w14:paraId="2F03A801" w14:textId="4CD3B6CC" w:rsidR="00633CE5" w:rsidRDefault="00633CE5" w:rsidP="00633CE5">
            <w:pPr>
              <w:pStyle w:val="MHHSBody"/>
            </w:pPr>
            <w:r>
              <w:t>REP-003   BM Unit Allocated Demand Volumes to Market Participants</w:t>
            </w:r>
          </w:p>
          <w:p w14:paraId="3A50EF7A" w14:textId="403D523A" w:rsidR="00633CE5" w:rsidRDefault="00633CE5" w:rsidP="00633CE5">
            <w:pPr>
              <w:pStyle w:val="MHHSBody"/>
            </w:pPr>
            <w:r>
              <w:t>REP-004   Supplier Deemed Take Report</w:t>
            </w:r>
          </w:p>
          <w:p w14:paraId="4DFFEF3D" w14:textId="3F4DAD0C" w:rsidR="00633CE5" w:rsidRDefault="00633CE5" w:rsidP="00633CE5">
            <w:pPr>
              <w:pStyle w:val="MHHSBody"/>
            </w:pPr>
            <w:r>
              <w:t>REP-006   Aggregated Uncorrected volumes by CCC to Market Participants</w:t>
            </w:r>
          </w:p>
          <w:p w14:paraId="6E89E1C8" w14:textId="10530519" w:rsidR="00633CE5" w:rsidRDefault="00633CE5" w:rsidP="00633CE5">
            <w:pPr>
              <w:pStyle w:val="MHHSBody"/>
            </w:pPr>
            <w:r>
              <w:t>REP-007   VAS Exception Report to Suppliers and BSCCo</w:t>
            </w:r>
          </w:p>
          <w:p w14:paraId="3AA7A1B4" w14:textId="62B374F2" w:rsidR="00633CE5" w:rsidRDefault="00633CE5" w:rsidP="00633CE5">
            <w:pPr>
              <w:pStyle w:val="MHHSBody"/>
            </w:pPr>
            <w:r>
              <w:t>REP-008   MDS Exception Report to LDSOs</w:t>
            </w:r>
          </w:p>
          <w:p w14:paraId="2F6D3910" w14:textId="761D1739" w:rsidR="00633CE5" w:rsidRDefault="00633CE5" w:rsidP="00633CE5">
            <w:pPr>
              <w:pStyle w:val="MHHSBody"/>
            </w:pPr>
            <w:r>
              <w:t>REP-009   EMRS Report for Suppliers</w:t>
            </w:r>
          </w:p>
          <w:p w14:paraId="193F0008" w14:textId="62B033A9" w:rsidR="00633CE5" w:rsidRDefault="00633CE5" w:rsidP="002C2599">
            <w:pPr>
              <w:pStyle w:val="MHHSBody"/>
            </w:pPr>
          </w:p>
        </w:tc>
      </w:tr>
      <w:tr w:rsidR="009D5B37" w14:paraId="3C8E66E6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F3AD323" w14:textId="1576FDBC" w:rsidR="009943F7" w:rsidRDefault="00B86D2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="00D07618" w:rsidRPr="00D07618">
              <w:rPr>
                <w:b/>
                <w:bCs/>
              </w:rPr>
              <w:t xml:space="preserve"> for change</w:t>
            </w:r>
            <w:r w:rsidR="009943F7">
              <w:rPr>
                <w:b/>
                <w:bCs/>
              </w:rPr>
              <w:t>:</w:t>
            </w:r>
          </w:p>
          <w:p w14:paraId="255CDD85" w14:textId="77777777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t>Recent analysis of the ECS reports  (REP003 - BM Unit Allocated Demand Volumes to Suppliers) - has worked out that some of the reports have the potential to be very large  (&gt;12MB) and hence potential ways of reducing this to a more manageable values have been investigated:</w:t>
            </w:r>
          </w:p>
          <w:p w14:paraId="326A0D71" w14:textId="77777777" w:rsidR="00F225CF" w:rsidRDefault="00F225CF" w:rsidP="00F225CF">
            <w:pPr>
              <w:pStyle w:val="MHHSBody"/>
              <w:spacing w:after="20" w:line="0" w:lineRule="atLeast"/>
              <w:rPr>
                <w:u w:val="single"/>
              </w:rPr>
            </w:pPr>
          </w:p>
          <w:p w14:paraId="76AAF01C" w14:textId="1607558F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rPr>
                <w:u w:val="single"/>
              </w:rPr>
              <w:t>Problem</w:t>
            </w:r>
          </w:p>
          <w:p w14:paraId="16CA563D" w14:textId="177B2645" w:rsidR="00F225CF" w:rsidRDefault="00F225CF" w:rsidP="00F225CF">
            <w:pPr>
              <w:pStyle w:val="MHHSBody"/>
              <w:spacing w:after="20" w:line="0" w:lineRule="atLeast"/>
            </w:pPr>
            <w:r w:rsidRPr="00F225CF">
              <w:t>The REP003 report contains the following data:</w:t>
            </w:r>
          </w:p>
          <w:tbl>
            <w:tblPr>
              <w:tblStyle w:val="GridTable1Light-Accent1"/>
              <w:tblW w:w="8740" w:type="dxa"/>
              <w:tblLook w:val="04A0" w:firstRow="1" w:lastRow="0" w:firstColumn="1" w:lastColumn="0" w:noHBand="0" w:noVBand="1"/>
            </w:tblPr>
            <w:tblGrid>
              <w:gridCol w:w="5180"/>
              <w:gridCol w:w="3560"/>
            </w:tblGrid>
            <w:tr w:rsidR="00F225CF" w:rsidRPr="00F225CF" w14:paraId="2F91A885" w14:textId="77777777" w:rsidTr="00F225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0D598667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Settlement Run</w:t>
                  </w:r>
                </w:p>
              </w:tc>
              <w:tc>
                <w:tcPr>
                  <w:tcW w:w="3560" w:type="dxa"/>
                  <w:hideMark/>
                </w:tcPr>
                <w:p w14:paraId="3E85D6E3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4 a day</w:t>
                  </w:r>
                </w:p>
              </w:tc>
            </w:tr>
            <w:tr w:rsidR="00F225CF" w:rsidRPr="00F225CF" w14:paraId="1C034A2E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01FAB8EF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Supplier</w:t>
                  </w:r>
                </w:p>
              </w:tc>
              <w:tc>
                <w:tcPr>
                  <w:tcW w:w="3560" w:type="dxa"/>
                  <w:hideMark/>
                </w:tcPr>
                <w:p w14:paraId="0A95484C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250</w:t>
                  </w:r>
                </w:p>
              </w:tc>
            </w:tr>
            <w:tr w:rsidR="00F225CF" w:rsidRPr="00F225CF" w14:paraId="0B6F9043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45418484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GSP Group</w:t>
                  </w:r>
                </w:p>
              </w:tc>
              <w:tc>
                <w:tcPr>
                  <w:tcW w:w="3560" w:type="dxa"/>
                  <w:hideMark/>
                </w:tcPr>
                <w:p w14:paraId="7D85A749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F225CF" w:rsidRPr="00F225CF" w14:paraId="2A6FB2F9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51FE0DD1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Supplier MPID</w:t>
                  </w:r>
                </w:p>
              </w:tc>
              <w:tc>
                <w:tcPr>
                  <w:tcW w:w="3560" w:type="dxa"/>
                  <w:hideMark/>
                </w:tcPr>
                <w:p w14:paraId="1A64DC9A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F225CF" w:rsidRPr="00F225CF" w14:paraId="4CC23B7E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1A31C8AF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BM Units</w:t>
                  </w:r>
                </w:p>
              </w:tc>
              <w:tc>
                <w:tcPr>
                  <w:tcW w:w="3560" w:type="dxa"/>
                  <w:hideMark/>
                </w:tcPr>
                <w:p w14:paraId="02ECAD55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1 to 10</w:t>
                  </w:r>
                </w:p>
              </w:tc>
            </w:tr>
            <w:tr w:rsidR="00F225CF" w:rsidRPr="00F225CF" w14:paraId="7A954529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527131A8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Consumption Class ID</w:t>
                  </w:r>
                </w:p>
              </w:tc>
              <w:tc>
                <w:tcPr>
                  <w:tcW w:w="3560" w:type="dxa"/>
                  <w:hideMark/>
                </w:tcPr>
                <w:p w14:paraId="5B8AE58D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  <w:lang w:val="en-US"/>
                    </w:rPr>
                    <w:t>83</w:t>
                  </w:r>
                </w:p>
              </w:tc>
            </w:tr>
            <w:tr w:rsidR="00F225CF" w:rsidRPr="00F225CF" w14:paraId="27936BB6" w14:textId="77777777" w:rsidTr="00F225CF">
              <w:trPr>
                <w:trHeight w:val="4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80" w:type="dxa"/>
                  <w:hideMark/>
                </w:tcPr>
                <w:p w14:paraId="4B8B2829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Settlement Date/Period</w:t>
                  </w:r>
                </w:p>
              </w:tc>
              <w:tc>
                <w:tcPr>
                  <w:tcW w:w="3560" w:type="dxa"/>
                  <w:hideMark/>
                </w:tcPr>
                <w:p w14:paraId="349086E2" w14:textId="77777777" w:rsidR="00F225CF" w:rsidRPr="00F225CF" w:rsidRDefault="00F225CF" w:rsidP="00F225CF">
                  <w:pPr>
                    <w:pStyle w:val="MHHSBody"/>
                    <w:spacing w:after="20" w:line="0" w:lineRule="atLea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F225CF">
                    <w:rPr>
                      <w:sz w:val="16"/>
                      <w:szCs w:val="16"/>
                    </w:rPr>
                    <w:t>48</w:t>
                  </w:r>
                </w:p>
              </w:tc>
            </w:tr>
          </w:tbl>
          <w:p w14:paraId="6A77E128" w14:textId="5964495A" w:rsidR="00F225CF" w:rsidRPr="00F225CF" w:rsidRDefault="00F225CF" w:rsidP="00F225CF">
            <w:pPr>
              <w:pStyle w:val="MHHSBody"/>
              <w:spacing w:after="20" w:line="0" w:lineRule="atLeast"/>
            </w:pPr>
          </w:p>
          <w:p w14:paraId="6B5B2392" w14:textId="77777777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t>The REP003 report is built on the premise that each report contains the data for 1 supplier for 1 GSP group, and then all the BMUS for that supplier.</w:t>
            </w:r>
          </w:p>
          <w:p w14:paraId="227087D6" w14:textId="3D3924C5" w:rsidR="00F225CF" w:rsidRDefault="00F225CF" w:rsidP="00F225CF">
            <w:pPr>
              <w:pStyle w:val="MHHSBody"/>
              <w:spacing w:after="20" w:line="0" w:lineRule="atLeast"/>
            </w:pPr>
            <w:r w:rsidRPr="00F225CF">
              <w:t>Sizing estimates for the reports are approximately 1.6MB per BMU.</w:t>
            </w:r>
            <w:r w:rsidR="002C2599">
              <w:t xml:space="preserve"> Some suppliers have multiple BMUs (upto 10)</w:t>
            </w:r>
          </w:p>
          <w:p w14:paraId="732729E7" w14:textId="3EF8DD26" w:rsidR="00F225CF" w:rsidRDefault="00F225CF" w:rsidP="00F225CF">
            <w:pPr>
              <w:pStyle w:val="MHHSBody"/>
              <w:spacing w:after="20" w:line="0" w:lineRule="atLeast"/>
            </w:pPr>
          </w:p>
          <w:p w14:paraId="6C48D8C3" w14:textId="6B2DD3D6" w:rsidR="00F225CF" w:rsidRDefault="00F225CF" w:rsidP="00F225CF">
            <w:pPr>
              <w:pStyle w:val="MHHSBody"/>
              <w:spacing w:after="20" w:line="0" w:lineRule="atLeast"/>
              <w:rPr>
                <w:u w:val="single"/>
              </w:rPr>
            </w:pPr>
            <w:r w:rsidRPr="00F225CF">
              <w:rPr>
                <w:u w:val="single"/>
              </w:rPr>
              <w:lastRenderedPageBreak/>
              <w:t>Proposal</w:t>
            </w:r>
          </w:p>
          <w:p w14:paraId="547553D1" w14:textId="77777777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rPr>
                <w:b/>
                <w:bCs/>
              </w:rPr>
              <w:t>Compress the Payload</w:t>
            </w:r>
          </w:p>
          <w:p w14:paraId="341D5EE7" w14:textId="77777777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t>Messages currently comprise of two blocks – a CommonBlock and a CustomBlock. The proposal is that the Sender (ECS) compresses the report and base64 encodes the data into the CustomBlock. The recipient will know that a specific message flow is compressed, and hence will need to decompress the payload. </w:t>
            </w:r>
          </w:p>
          <w:p w14:paraId="65CEA5EC" w14:textId="77777777" w:rsidR="00F225CF" w:rsidRPr="00F225CF" w:rsidRDefault="00F225CF" w:rsidP="00F225CF">
            <w:pPr>
              <w:pStyle w:val="MHHSBody"/>
              <w:spacing w:after="20" w:line="0" w:lineRule="atLeast"/>
            </w:pPr>
            <w:r w:rsidRPr="00F225CF">
              <w:t>The proposal is to use gzip for the compression.</w:t>
            </w:r>
          </w:p>
          <w:p w14:paraId="5824B679" w14:textId="77777777" w:rsidR="00F225CF" w:rsidRPr="00F225CF" w:rsidRDefault="00F225CF" w:rsidP="00F225CF">
            <w:pPr>
              <w:pStyle w:val="MHHSBody"/>
              <w:spacing w:after="20" w:line="0" w:lineRule="atLeast"/>
              <w:rPr>
                <w:u w:val="single"/>
              </w:rPr>
            </w:pPr>
          </w:p>
          <w:p w14:paraId="55446974" w14:textId="5217D084" w:rsidR="00D07618" w:rsidRDefault="00F225CF" w:rsidP="00F225CF">
            <w:pPr>
              <w:pStyle w:val="MHHSBody"/>
            </w:pPr>
            <w:r w:rsidRPr="00F225CF">
              <w:t xml:space="preserve"> </w:t>
            </w:r>
            <w:r w:rsidR="007560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7560FE">
              <w:instrText xml:space="preserve"> FORMTEXT </w:instrText>
            </w:r>
            <w:r w:rsidR="007560FE">
              <w:fldChar w:fldCharType="separate"/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 w:rsidR="007344D3">
              <w:rPr>
                <w:noProof/>
              </w:rPr>
              <w:t> </w:t>
            </w:r>
            <w:r w:rsidR="007560FE">
              <w:fldChar w:fldCharType="end"/>
            </w:r>
            <w:bookmarkEnd w:id="1"/>
          </w:p>
        </w:tc>
      </w:tr>
      <w:tr w:rsidR="009D5B37" w14:paraId="4937AE4F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lastRenderedPageBreak/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3E0E64A4" w14:textId="7B1E4F99" w:rsidR="00D07618" w:rsidRPr="00960D82" w:rsidRDefault="001C2A6A" w:rsidP="00BA4845">
            <w:pPr>
              <w:pStyle w:val="MHHSBody"/>
            </w:pPr>
            <w:r>
              <w:t>The reports generated by ECS will cause operational issues with either the DIP and/or Market Participants due to the large size.</w:t>
            </w:r>
            <w:r w:rsidR="007560FE" w:rsidRPr="00960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7560FE" w:rsidRPr="00960D82">
              <w:instrText xml:space="preserve"> FORMTEXT </w:instrText>
            </w:r>
            <w:r w:rsidR="007560FE" w:rsidRPr="00960D82">
              <w:fldChar w:fldCharType="separate"/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rPr>
                <w:noProof/>
              </w:rPr>
              <w:t> </w:t>
            </w:r>
            <w:r w:rsidR="007560FE" w:rsidRPr="00960D82">
              <w:fldChar w:fldCharType="end"/>
            </w:r>
            <w:bookmarkEnd w:id="2"/>
          </w:p>
        </w:tc>
      </w:tr>
      <w:tr w:rsidR="00672D21" w14:paraId="5BEB428A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3C906321" w14:textId="75D880F8" w:rsidR="00D94CB0" w:rsidRDefault="001C2A6A" w:rsidP="00C16ED6">
            <w:pPr>
              <w:pStyle w:val="MHHSBody"/>
            </w:pPr>
            <w:r w:rsidRPr="001C2A6A">
              <w:t>In the original DIP</w:t>
            </w:r>
            <w:r>
              <w:t xml:space="preserve"> design a design pattern known as Secure Pattern ‘B’</w:t>
            </w:r>
            <w:r w:rsidR="00C16ED6">
              <w:t>,</w:t>
            </w:r>
            <w:r>
              <w:t xml:space="preserve"> </w:t>
            </w:r>
            <w:r w:rsidR="00C16ED6">
              <w:t xml:space="preserve">which would have been used to transfer larger reports and messages over the DIP, was specified but never implemented. </w:t>
            </w:r>
          </w:p>
          <w:p w14:paraId="767404DB" w14:textId="4C71F1C3" w:rsidR="00C16ED6" w:rsidRPr="001C2A6A" w:rsidRDefault="00C16ED6" w:rsidP="00C16ED6">
            <w:pPr>
              <w:pStyle w:val="MHHSBody"/>
            </w:pPr>
            <w:r>
              <w:t>The design pattern described above is thought to be a lot simpler for both Market Participants, Helix &amp; Avanade to develop rather than implementing Secure Pattern ‘B’ at this stage in the programme.</w:t>
            </w:r>
          </w:p>
        </w:tc>
      </w:tr>
      <w:tr w:rsidR="00672D21" w14:paraId="08F21222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61D6CFE3" w14:textId="6E0A7D2B" w:rsidR="00D94CB0" w:rsidRPr="00225B94" w:rsidRDefault="00733DBA" w:rsidP="00C16ED6">
            <w:pPr>
              <w:pStyle w:val="MHHSBody"/>
              <w:rPr>
                <w:b/>
                <w:iCs/>
              </w:rPr>
            </w:pPr>
            <w:r w:rsidRPr="00225B94">
              <w:rPr>
                <w:iCs/>
              </w:rPr>
              <w:t>No discernible risks</w:t>
            </w:r>
          </w:p>
        </w:tc>
      </w:tr>
      <w:tr w:rsidR="00593C2D" w14:paraId="44045F1C" w14:textId="77777777" w:rsidTr="00E620EC">
        <w:trPr>
          <w:trHeight w:val="1515"/>
        </w:trPr>
        <w:tc>
          <w:tcPr>
            <w:tcW w:w="10680" w:type="dxa"/>
            <w:gridSpan w:val="2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1B611D36" w:rsidR="00D94CB0" w:rsidRPr="00225B94" w:rsidRDefault="00733DBA" w:rsidP="00D94CB0">
            <w:pPr>
              <w:pStyle w:val="MHHSBody"/>
              <w:rPr>
                <w:iCs/>
              </w:rPr>
            </w:pPr>
            <w:r w:rsidRPr="00225B94">
              <w:rPr>
                <w:iCs/>
              </w:rPr>
              <w:t>The proposals were introduced at the DRWG on 17/7/23 and had a favourable response. Both the Helix programme &amp; Avanade have already been consulted on the design and are fully supportive of the proposals.</w:t>
            </w:r>
          </w:p>
          <w:p w14:paraId="0AB7B0C0" w14:textId="7489FB9B" w:rsidR="00D94CB0" w:rsidRPr="00960D82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</w:tc>
      </w:tr>
      <w:tr w:rsidR="00E86758" w14:paraId="0A18EEC5" w14:textId="77777777" w:rsidTr="00E620EC">
        <w:trPr>
          <w:trHeight w:val="615"/>
        </w:trPr>
        <w:tc>
          <w:tcPr>
            <w:tcW w:w="5337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5343" w:type="dxa"/>
          </w:tcPr>
          <w:p w14:paraId="7826F885" w14:textId="202A42A2" w:rsidR="00E86758" w:rsidRDefault="007560FE" w:rsidP="00CB0714">
            <w:pPr>
              <w:pStyle w:val="MHHS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9E5D43F" w14:textId="77777777" w:rsidR="00CF52C6" w:rsidRDefault="00CF52C6" w:rsidP="00CB0714">
      <w:pPr>
        <w:pStyle w:val="MHHSBody"/>
      </w:pPr>
    </w:p>
    <w:p w14:paraId="1AC546C8" w14:textId="26840B0B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4E3779EE" w14:textId="77777777" w:rsidR="00147E8F" w:rsidRDefault="00147E8F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51932" w14:paraId="1367CF59" w14:textId="77777777" w:rsidTr="00D5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0627" w:type="dxa"/>
            <w:shd w:val="clear" w:color="auto" w:fill="D9D9D9" w:themeFill="background1" w:themeFillShade="D9"/>
          </w:tcPr>
          <w:p w14:paraId="11E4D90F" w14:textId="45C093F9" w:rsidR="00D51932" w:rsidRDefault="00D51932" w:rsidP="007C1A33">
            <w:pPr>
              <w:pStyle w:val="MHHSBody"/>
              <w:jc w:val="center"/>
            </w:pPr>
            <w:r>
              <w:t>What benefits does the change bring</w:t>
            </w:r>
          </w:p>
        </w:tc>
      </w:tr>
      <w:tr w:rsidR="00D51932" w14:paraId="763F4F4D" w14:textId="77777777" w:rsidTr="00651F24">
        <w:trPr>
          <w:trHeight w:val="2367"/>
        </w:trPr>
        <w:tc>
          <w:tcPr>
            <w:tcW w:w="10627" w:type="dxa"/>
            <w:vAlign w:val="top"/>
          </w:tcPr>
          <w:p w14:paraId="70F3106E" w14:textId="48AA3204" w:rsidR="00D51932" w:rsidRDefault="00733DBA" w:rsidP="006650DD">
            <w:pPr>
              <w:pStyle w:val="MHHSBody"/>
            </w:pPr>
            <w:r>
              <w:t xml:space="preserve">Reduces the size of message payload of the </w:t>
            </w:r>
            <w:r w:rsidR="00685A26">
              <w:t xml:space="preserve">messages that contain the </w:t>
            </w:r>
            <w:r>
              <w:t xml:space="preserve">ECS reports </w:t>
            </w:r>
            <w:r w:rsidR="006650DD">
              <w:t>as they move through the DIP from ECS to the targeted MPs. This will have the following benefits:</w:t>
            </w:r>
          </w:p>
          <w:p w14:paraId="6A0AB18D" w14:textId="6B67CC0D" w:rsidR="006650DD" w:rsidRDefault="006650DD" w:rsidP="00685A26">
            <w:pPr>
              <w:pStyle w:val="MHHSBody"/>
              <w:numPr>
                <w:ilvl w:val="0"/>
                <w:numId w:val="30"/>
              </w:numPr>
            </w:pPr>
            <w:r>
              <w:t xml:space="preserve">Individual message size will be </w:t>
            </w:r>
            <w:r w:rsidR="00685A26">
              <w:t>below the notional 1MB size limit for Pattern ‘A’ messages required for efficient DIP message exchange</w:t>
            </w:r>
          </w:p>
          <w:p w14:paraId="20F87222" w14:textId="6773DCB9" w:rsidR="00685A26" w:rsidRDefault="00685A26" w:rsidP="00685A26">
            <w:pPr>
              <w:pStyle w:val="MHHSBody"/>
              <w:numPr>
                <w:ilvl w:val="0"/>
                <w:numId w:val="30"/>
              </w:numPr>
            </w:pPr>
            <w:r>
              <w:t>Additional benefit of reduced message sizes will reduce the overall operational costs of DIP. This is not considered to be a significant benefit, however worth highlighting.</w:t>
            </w:r>
          </w:p>
        </w:tc>
      </w:tr>
    </w:tbl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005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003A54C8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28862543" w:rsidR="002B04D8" w:rsidRDefault="00202EE0" w:rsidP="00151F9B">
            <w:pPr>
              <w:pStyle w:val="MHHSBody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685A26">
              <w:t>Efficient delivery of ECS reports</w:t>
            </w:r>
          </w:p>
        </w:tc>
      </w:tr>
      <w:tr w:rsidR="002B04D8" w14:paraId="504D939B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1B01D314" w:rsidR="002B04D8" w:rsidRDefault="002B04D8" w:rsidP="00440CB7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 w:rsidR="00202EE0">
              <w:t> </w:t>
            </w:r>
            <w:r>
              <w:fldChar w:fldCharType="end"/>
            </w:r>
            <w:r w:rsidR="00440CB7">
              <w:t>The delivery for t</w:t>
            </w:r>
            <w:r w:rsidR="00685A26">
              <w:t>ime</w:t>
            </w:r>
            <w:r w:rsidR="00440CB7">
              <w:t>scales for the ‘Compressed payload’ design are</w:t>
            </w:r>
            <w:r w:rsidR="00685A26">
              <w:t xml:space="preserve"> </w:t>
            </w:r>
            <w:r w:rsidR="00440CB7">
              <w:t>shorter than the alternative design, namely Secure Pattern ‘B’. Current design not considered viable for go-live</w:t>
            </w:r>
          </w:p>
        </w:tc>
      </w:tr>
      <w:tr w:rsidR="00151F9B" w14:paraId="4F0BFCBC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5A28DE30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440CB7">
              <w:t>n/a</w:t>
            </w:r>
          </w:p>
        </w:tc>
      </w:tr>
      <w:tr w:rsidR="00151F9B" w14:paraId="45B8E7A4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3B8985F6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440CB7">
              <w:t xml:space="preserve"> The delivery for timescales for the ‘Compressed payload’ design are shorter than the alternative design, namely Secure Pattern ‘B’. Current design not considered viable for go-live</w:t>
            </w:r>
          </w:p>
        </w:tc>
      </w:tr>
      <w:tr w:rsidR="00151F9B" w14:paraId="3352F22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>To deliver programme capabilities and outcomes to enable the realisation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4E5E8F91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440CB7">
              <w:t>The proposal provides technical efficiencies on the exchange of messages</w:t>
            </w:r>
          </w:p>
        </w:tc>
      </w:tr>
      <w:tr w:rsidR="00151F9B" w14:paraId="44B36E33" w14:textId="77777777" w:rsidTr="003A54C8">
        <w:trPr>
          <w:trHeight w:val="860"/>
        </w:trPr>
        <w:tc>
          <w:tcPr>
            <w:tcW w:w="4957" w:type="dxa"/>
            <w:shd w:val="clear" w:color="auto" w:fill="F2F2F2" w:themeFill="background1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prove and provide a model for future such industry-led change programmes</w:t>
            </w:r>
          </w:p>
        </w:tc>
        <w:tc>
          <w:tcPr>
            <w:tcW w:w="5628" w:type="dxa"/>
            <w:vAlign w:val="top"/>
          </w:tcPr>
          <w:p w14:paraId="444275F1" w14:textId="3B195BF7" w:rsidR="00151F9B" w:rsidRDefault="00151F9B" w:rsidP="00151F9B">
            <w:pPr>
              <w:pStyle w:val="MHHSBody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440CB7">
              <w:t>Design supports longevity within the DIP design</w:t>
            </w:r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000B0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1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1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14:paraId="6EDB303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7CF2B958" w:rsidR="00CF3F69" w:rsidRDefault="002B4DF4" w:rsidP="00250039">
            <w:pPr>
              <w:pStyle w:val="MHHSBody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F06E2D">
              <w:t>ECS (Helix), DIP (Avanade)</w:t>
            </w:r>
            <w:r w:rsidR="006127CF">
              <w:t>, Suppliers &amp; LDSO.</w:t>
            </w:r>
            <w:r w:rsidR="00F06E2D">
              <w:t xml:space="preserve"> </w:t>
            </w:r>
          </w:p>
        </w:tc>
      </w:tr>
      <w:tr w:rsidR="00CF3F69" w14:paraId="6A5A82A4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lastRenderedPageBreak/>
              <w:t>Impacted Deliverables</w:t>
            </w:r>
          </w:p>
        </w:tc>
        <w:tc>
          <w:tcPr>
            <w:tcW w:w="8605" w:type="dxa"/>
          </w:tcPr>
          <w:p w14:paraId="603B9F48" w14:textId="1A4158AB" w:rsidR="00CF3F69" w:rsidRDefault="002B4DF4" w:rsidP="00250039">
            <w:pPr>
              <w:pStyle w:val="MHHSBody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6127CF">
              <w:t xml:space="preserve">E2E Solution Architecture document, </w:t>
            </w:r>
            <w:r w:rsidR="006127CF" w:rsidRPr="006127CF">
              <w:t>MHHSP - ERI01</w:t>
            </w:r>
            <w:r w:rsidR="006127CF">
              <w:t xml:space="preserve">1B - ECS Reports – External, MMHS Interface definitions aka. swagger </w:t>
            </w:r>
          </w:p>
        </w:tc>
      </w:tr>
      <w:tr w:rsidR="006F0122" w14:paraId="1FB0121C" w14:textId="77777777" w:rsidTr="003A54C8">
        <w:trPr>
          <w:trHeight w:val="860"/>
        </w:trPr>
        <w:tc>
          <w:tcPr>
            <w:tcW w:w="1980" w:type="dxa"/>
            <w:shd w:val="clear" w:color="auto" w:fill="F2F2F2" w:themeFill="background1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531D220C" w14:textId="56197EF0" w:rsidR="004E5557" w:rsidRPr="0054131D" w:rsidRDefault="0054131D" w:rsidP="00250039">
            <w:pPr>
              <w:pStyle w:val="MHHSBody"/>
              <w:rPr>
                <w:i/>
                <w:iCs/>
              </w:rPr>
            </w:pPr>
            <w:r w:rsidRPr="0054131D">
              <w:rPr>
                <w:i/>
                <w:iCs/>
                <w:color w:val="5161FC" w:themeColor="accent1"/>
              </w:rPr>
              <w:t>&lt;</w:t>
            </w:r>
            <w:r w:rsidR="004E5557" w:rsidRPr="0054131D">
              <w:rPr>
                <w:i/>
                <w:iCs/>
                <w:color w:val="5161FC" w:themeColor="accent1"/>
              </w:rPr>
              <w:t>Ofgem’s MHHS Transition Timetable is linked above</w:t>
            </w:r>
            <w:r w:rsidRPr="0054131D">
              <w:rPr>
                <w:i/>
                <w:iCs/>
                <w:color w:val="5161FC" w:themeColor="accent1"/>
              </w:rPr>
              <w:t>&gt;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97"/>
        <w:gridCol w:w="3197"/>
        <w:gridCol w:w="1956"/>
      </w:tblGrid>
      <w:tr w:rsidR="004D0669" w14:paraId="0D6D559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1" w:type="dxa"/>
            <w:gridSpan w:val="4"/>
            <w:shd w:val="clear" w:color="auto" w:fill="D9D9D9" w:themeFill="background1" w:themeFillShade="D9"/>
          </w:tcPr>
          <w:p w14:paraId="70371D56" w14:textId="77777777" w:rsidR="004D0669" w:rsidRDefault="004D0669" w:rsidP="005A4D7B">
            <w:pPr>
              <w:pStyle w:val="MHHSBody"/>
              <w:jc w:val="center"/>
            </w:pPr>
            <w:r>
              <w:t>Initial assessment</w:t>
            </w:r>
          </w:p>
        </w:tc>
      </w:tr>
      <w:tr w:rsidR="004D0669" w14:paraId="1A37EAB1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36796AAE" w14:textId="77777777" w:rsidR="004D0669" w:rsidRDefault="004D0669" w:rsidP="005A4D7B">
            <w:pPr>
              <w:pStyle w:val="MHHSBody"/>
            </w:pPr>
            <w:r>
              <w:t>Necessity of change</w:t>
            </w:r>
          </w:p>
        </w:tc>
        <w:tc>
          <w:tcPr>
            <w:tcW w:w="2108" w:type="dxa"/>
          </w:tcPr>
          <w:p w14:paraId="6AFE7378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1"/>
                  <w:enabled/>
                  <w:calcOnExit/>
                  <w:ddList>
                    <w:listEntry w:val="1 - Critical Change"/>
                    <w:listEntry w:val="2 - Important Change"/>
                    <w:listEntry w:val="3 - Potentially Important"/>
                  </w:ddList>
                </w:ffData>
              </w:fldChar>
            </w:r>
            <w:bookmarkStart w:id="11" w:name="Dropdown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279" w:type="dxa"/>
            <w:shd w:val="clear" w:color="auto" w:fill="F2F2F2" w:themeFill="background1" w:themeFillShade="F2"/>
          </w:tcPr>
          <w:p w14:paraId="3EA0AFC4" w14:textId="77777777" w:rsidR="004D0669" w:rsidRDefault="004D0669" w:rsidP="005A4D7B">
            <w:pPr>
              <w:pStyle w:val="MHHSBody"/>
            </w:pPr>
            <w:r>
              <w:t>Expected lead time</w:t>
            </w:r>
          </w:p>
        </w:tc>
        <w:tc>
          <w:tcPr>
            <w:tcW w:w="1752" w:type="dxa"/>
          </w:tcPr>
          <w:p w14:paraId="3583BEB5" w14:textId="77777777" w:rsidR="004D0669" w:rsidRDefault="004D0669" w:rsidP="005A4D7B">
            <w:pPr>
              <w:pStyle w:val="MHHSBody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1 - &lt;5 working days"/>
                    <w:listEntry w:val="2 - 5 to 10 working days"/>
                    <w:listEntry w:val="3 - 10 - 20 working days"/>
                    <w:listEntry w:val="4 - &gt;20 working days"/>
                  </w:ddList>
                </w:ffData>
              </w:fldChar>
            </w:r>
            <w:bookmarkStart w:id="12" w:name="Dropdown4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</w:tr>
      <w:tr w:rsidR="004D0669" w14:paraId="09511D9D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6E333FF8" w14:textId="77777777" w:rsidR="004D0669" w:rsidRDefault="004D0669" w:rsidP="005A4D7B">
            <w:pPr>
              <w:pStyle w:val="MHHSBody"/>
            </w:pPr>
            <w:r>
              <w:t>Rationale of change</w:t>
            </w:r>
          </w:p>
        </w:tc>
        <w:tc>
          <w:tcPr>
            <w:tcW w:w="2108" w:type="dxa"/>
          </w:tcPr>
          <w:p w14:paraId="3F2A0BB9" w14:textId="223F1744" w:rsidR="004D0669" w:rsidRDefault="00821C7D" w:rsidP="00821C7D">
            <w:pPr>
              <w:pStyle w:val="MHHSBody"/>
            </w:pPr>
            <w:r>
              <w:t>Solution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109126" w14:textId="77777777" w:rsidR="004D0669" w:rsidRDefault="004D0669" w:rsidP="005A4D7B">
            <w:pPr>
              <w:pStyle w:val="MHHSBody"/>
            </w:pPr>
            <w:r>
              <w:t>Expected implementation window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59D2995" w14:textId="55BFB65E" w:rsidR="004D0669" w:rsidRDefault="00821C7D" w:rsidP="00821C7D">
            <w:pPr>
              <w:pStyle w:val="MHHSBody"/>
            </w:pPr>
            <w:r>
              <w:t>2-Short</w:t>
            </w:r>
          </w:p>
        </w:tc>
      </w:tr>
      <w:tr w:rsidR="004D0669" w14:paraId="0CA1C164" w14:textId="77777777" w:rsidTr="003A54C8">
        <w:tc>
          <w:tcPr>
            <w:tcW w:w="3392" w:type="dxa"/>
            <w:shd w:val="clear" w:color="auto" w:fill="F2F2F2" w:themeFill="background1" w:themeFillShade="F2"/>
          </w:tcPr>
          <w:p w14:paraId="07E9B368" w14:textId="77777777" w:rsidR="004D0669" w:rsidRDefault="004D0669" w:rsidP="005A4D7B">
            <w:pPr>
              <w:pStyle w:val="MHHSBody"/>
            </w:pPr>
            <w:r>
              <w:t>Expected change impact</w:t>
            </w:r>
          </w:p>
        </w:tc>
        <w:tc>
          <w:tcPr>
            <w:tcW w:w="2108" w:type="dxa"/>
            <w:tcBorders>
              <w:right w:val="single" w:sz="4" w:space="0" w:color="auto"/>
            </w:tcBorders>
          </w:tcPr>
          <w:p w14:paraId="2B944611" w14:textId="6ECF7093" w:rsidR="004D0669" w:rsidRDefault="00821C7D" w:rsidP="005A4D7B">
            <w:pPr>
              <w:pStyle w:val="MHHSBody"/>
            </w:pPr>
            <w:r>
              <w:t>Low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0D73C" w14:textId="77777777" w:rsidR="004D0669" w:rsidRDefault="004D0669" w:rsidP="005A4D7B">
            <w:pPr>
              <w:pStyle w:val="MHHSBody"/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E0991" w14:textId="77777777" w:rsidR="004D0669" w:rsidRDefault="004D0669" w:rsidP="005A4D7B">
            <w:pPr>
              <w:pStyle w:val="MHHSBody"/>
            </w:pPr>
          </w:p>
        </w:tc>
      </w:tr>
    </w:tbl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00C6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0853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2060C87" w14:textId="77777777" w:rsidTr="00C62FEC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405028C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0A793B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lastRenderedPageBreak/>
        <w:t xml:space="preserve">Part </w:t>
      </w:r>
      <w:r w:rsidR="00586D5C">
        <w:rPr>
          <w:sz w:val="20"/>
          <w:szCs w:val="20"/>
        </w:rPr>
        <w:t>C.1</w:t>
      </w:r>
      <w:r w:rsidRPr="000A793B">
        <w:rPr>
          <w:sz w:val="20"/>
          <w:szCs w:val="20"/>
        </w:rPr>
        <w:t xml:space="preserve"> – </w:t>
      </w:r>
      <w:r w:rsidR="00D25E17" w:rsidRPr="000A793B">
        <w:rPr>
          <w:sz w:val="20"/>
          <w:szCs w:val="20"/>
        </w:rPr>
        <w:t xml:space="preserve">Summary of </w:t>
      </w:r>
      <w:r w:rsidR="00ED1230">
        <w:rPr>
          <w:sz w:val="20"/>
          <w:szCs w:val="20"/>
        </w:rPr>
        <w:t>I</w:t>
      </w:r>
      <w:r w:rsidR="00D25E17" w:rsidRPr="000A793B">
        <w:rPr>
          <w:sz w:val="20"/>
          <w:szCs w:val="20"/>
        </w:rPr>
        <w:t xml:space="preserve">mpact </w:t>
      </w:r>
      <w:r w:rsidR="00ED1230">
        <w:rPr>
          <w:sz w:val="20"/>
          <w:szCs w:val="20"/>
        </w:rPr>
        <w:t>A</w:t>
      </w:r>
      <w:r w:rsidR="00D25E17" w:rsidRPr="000A793B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A10096" w:rsidRDefault="00A76C6F" w:rsidP="00A76C6F">
      <w:pPr>
        <w:pStyle w:val="CommentText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8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004D272C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603A0E59" w14:textId="08830B56" w:rsidR="003B4E65" w:rsidRDefault="00D87729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Compressed ECS reports will mean that these messages passing through the DIP remain within the 1MB design threshold</w:t>
            </w:r>
          </w:p>
          <w:p w14:paraId="36C3A811" w14:textId="77777777" w:rsid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4B0E24DB" w14:textId="2E4561BF" w:rsidR="007B7230" w:rsidRPr="007B7230" w:rsidRDefault="007B7230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6077F9" w:rsidRPr="005B7D3A" w14:paraId="7FD25C42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002C0835">
        <w:tc>
          <w:tcPr>
            <w:tcW w:w="10536" w:type="dxa"/>
            <w:shd w:val="clear" w:color="auto" w:fill="FFFFFF" w:themeFill="background1"/>
          </w:tcPr>
          <w:p w14:paraId="4FC8B641" w14:textId="77777777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32369AFD" w14:textId="699AF5D8" w:rsidR="00643F46" w:rsidRPr="00D2357E" w:rsidRDefault="00C70852" w:rsidP="00C70852">
            <w:pPr>
              <w:pStyle w:val="MHHSBody"/>
              <w:rPr>
                <w:i/>
                <w:iCs/>
                <w:color w:val="5161FC" w:themeColor="accent1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</w:tc>
      </w:tr>
      <w:tr w:rsidR="00214B3C" w:rsidRPr="005B7D3A" w14:paraId="185DF4E2" w14:textId="77777777" w:rsidTr="004D272C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54E54687" w14:textId="7BC307F7" w:rsidR="00CD1DDD" w:rsidRPr="005B7D3A" w:rsidRDefault="00D87729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No direct impact to consumer, however, it will mean the programme costs are reduced as the proposal is thought to be the most cost efficient design for all Market Participants</w:t>
            </w:r>
          </w:p>
          <w:p w14:paraId="079D559A" w14:textId="77777777" w:rsidR="00CD1DDD" w:rsidRPr="005B7D3A" w:rsidRDefault="00CD1DDD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6EF717EE" w14:textId="7ACF8E91" w:rsidR="00214B3C" w:rsidRPr="005B7D3A" w:rsidRDefault="00214B3C" w:rsidP="00214B3C">
            <w:pPr>
              <w:pStyle w:val="MHHSBody"/>
              <w:rPr>
                <w:color w:val="041425" w:themeColor="text1"/>
              </w:rPr>
            </w:pPr>
            <w:r w:rsidRPr="005B7D3A">
              <w:rPr>
                <w:color w:val="041425" w:themeColor="text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5B7D3A">
              <w:rPr>
                <w:color w:val="041425" w:themeColor="text1"/>
              </w:rPr>
              <w:instrText xml:space="preserve"> FORMTEXT </w:instrText>
            </w:r>
            <w:r w:rsidR="00000000">
              <w:rPr>
                <w:color w:val="041425" w:themeColor="text1"/>
              </w:rPr>
            </w:r>
            <w:r w:rsidR="00000000">
              <w:rPr>
                <w:color w:val="041425" w:themeColor="text1"/>
              </w:rPr>
              <w:fldChar w:fldCharType="separate"/>
            </w:r>
            <w:r w:rsidRPr="005B7D3A">
              <w:rPr>
                <w:color w:val="041425" w:themeColor="text1"/>
              </w:rPr>
              <w:fldChar w:fldCharType="end"/>
            </w:r>
            <w:bookmarkEnd w:id="13"/>
          </w:p>
        </w:tc>
      </w:tr>
      <w:tr w:rsidR="00AF4AE2" w:rsidRPr="005B7D3A" w14:paraId="6E6A1C0E" w14:textId="77777777" w:rsidTr="00AF4AE2">
        <w:tc>
          <w:tcPr>
            <w:tcW w:w="10536" w:type="dxa"/>
            <w:shd w:val="clear" w:color="auto" w:fill="F2F2F2" w:themeFill="background1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004D272C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6CD25AD7" w14:textId="31236188" w:rsidR="00AF4AE2" w:rsidRPr="00AB196D" w:rsidRDefault="00AB196D" w:rsidP="00AF4AE2">
            <w:pPr>
              <w:pStyle w:val="MHHSBody"/>
              <w:rPr>
                <w:i/>
                <w:iCs/>
                <w:color w:val="FF000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</w:tc>
      </w:tr>
      <w:tr w:rsidR="00AF4AE2" w:rsidRPr="005B7D3A" w14:paraId="7512CF01" w14:textId="77777777" w:rsidTr="004D272C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schedule</w:t>
            </w:r>
          </w:p>
          <w:p w14:paraId="701B7E0A" w14:textId="5F032FC2" w:rsidR="00AF4AE2" w:rsidRPr="005B7D3A" w:rsidRDefault="00D87729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lastRenderedPageBreak/>
              <w:t xml:space="preserve">The change is fairly straightforward for organisations with mature development capabilities, the </w:t>
            </w:r>
            <w:r w:rsidR="003B6F56">
              <w:rPr>
                <w:rFonts w:cstheme="minorHAnsi"/>
                <w:i/>
                <w:iCs/>
                <w:color w:val="041425" w:themeColor="text1"/>
                <w:szCs w:val="20"/>
              </w:rPr>
              <w:t>time CR timescales will have a greater impact.</w:t>
            </w:r>
          </w:p>
          <w:p w14:paraId="67B38DD6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33CDB12D" w14:textId="69BF3726" w:rsidR="00AF4AE2" w:rsidRPr="005B7D3A" w:rsidRDefault="00AF4AE2" w:rsidP="00AF4AE2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F4AE2" w:rsidRPr="005B7D3A" w14:paraId="69AD4699" w14:textId="77777777" w:rsidTr="072F2146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lastRenderedPageBreak/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009056D8">
        <w:tc>
          <w:tcPr>
            <w:tcW w:w="10536" w:type="dxa"/>
            <w:shd w:val="clear" w:color="auto" w:fill="FFFFFF" w:themeFill="background1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0FD40B9E" w14:textId="617B1BD5" w:rsidR="009056D8" w:rsidRPr="005B7D3A" w:rsidRDefault="00F86A0D" w:rsidP="00F86A0D">
            <w:pPr>
              <w:pStyle w:val="MHHSBody"/>
              <w:rPr>
                <w:i/>
                <w:iCs/>
                <w:color w:val="041425" w:themeColor="text1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</w:tc>
      </w:tr>
      <w:tr w:rsidR="009056D8" w:rsidRPr="005B7D3A" w14:paraId="38F23956" w14:textId="77777777" w:rsidTr="004D272C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448E9D64" w14:textId="0FF49A71" w:rsidR="009056D8" w:rsidRPr="005B7D3A" w:rsidRDefault="003B6F56" w:rsidP="009056D8">
            <w:pPr>
              <w:pStyle w:val="MHHSBody"/>
              <w:rPr>
                <w:b/>
                <w:bCs/>
                <w:color w:val="041425" w:themeColor="text1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Minor impact, alternative approaches would have greater costs and timescales</w:t>
            </w:r>
          </w:p>
          <w:p w14:paraId="552719B1" w14:textId="77777777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</w:rPr>
            </w:pPr>
          </w:p>
          <w:p w14:paraId="22448014" w14:textId="2E38D3EE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 xml:space="preserve"> </w:t>
            </w:r>
          </w:p>
        </w:tc>
      </w:tr>
      <w:tr w:rsidR="002E3B9C" w:rsidRPr="005B7D3A" w14:paraId="62A24C9B" w14:textId="77777777" w:rsidTr="002E3B9C">
        <w:tc>
          <w:tcPr>
            <w:tcW w:w="10536" w:type="dxa"/>
            <w:shd w:val="clear" w:color="auto" w:fill="F2F2F2" w:themeFill="background1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004D272C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097CD01C" w14:textId="4EC8FDC6" w:rsidR="002E3B9C" w:rsidRPr="005B7D3A" w:rsidRDefault="001E621D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</w:tc>
      </w:tr>
      <w:tr w:rsidR="002E3B9C" w:rsidRPr="005B7D3A" w14:paraId="07623B29" w14:textId="77777777" w:rsidTr="004D272C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resources</w:t>
            </w:r>
          </w:p>
          <w:p w14:paraId="1A34EFDA" w14:textId="29D042AE" w:rsidR="002E3B9C" w:rsidRPr="005B7D3A" w:rsidRDefault="002A4B7B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Minor to none</w:t>
            </w:r>
            <w:r w:rsidR="003B6F56">
              <w:rPr>
                <w:rFonts w:cstheme="minorHAnsi"/>
                <w:i/>
                <w:iCs/>
                <w:color w:val="041425" w:themeColor="text1"/>
                <w:szCs w:val="20"/>
              </w:rPr>
              <w:t>. MPs will already have deployed development teams to implement the wider changes required by the programme, this change should be easily picked up by those resources.</w:t>
            </w:r>
          </w:p>
          <w:p w14:paraId="2EC96E78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56B106E" w14:textId="7BE22C46" w:rsidR="002E3B9C" w:rsidRPr="005B7D3A" w:rsidRDefault="002E3B9C" w:rsidP="002E3B9C">
            <w:pPr>
              <w:pStyle w:val="MHHSBody"/>
              <w:rPr>
                <w:color w:val="041425" w:themeColor="text1"/>
              </w:rPr>
            </w:pPr>
          </w:p>
        </w:tc>
      </w:tr>
      <w:tr w:rsidR="00175E89" w:rsidRPr="005B7D3A" w14:paraId="2920ADA4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004D272C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18B5D063" w14:textId="084E96D2" w:rsidR="002E3B9C" w:rsidRPr="005B7D3A" w:rsidRDefault="00B658FF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require X additional staff for Y period of time; the change requires Z training or support.</w:t>
            </w:r>
          </w:p>
        </w:tc>
      </w:tr>
      <w:tr w:rsidR="002E3B9C" w:rsidRPr="005B7D3A" w14:paraId="4EDA1EF3" w14:textId="77777777" w:rsidTr="004D272C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42FC1BE2" w14:textId="731754A9" w:rsidR="002E3B9C" w:rsidRPr="005B7D3A" w:rsidRDefault="002A4B7B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Minor to none. Development staff &amp; support staff will require knowledge how to manage compressed payloads. Guidance by the programme will be provided.</w:t>
            </w:r>
          </w:p>
          <w:p w14:paraId="46702604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5039A775" w14:textId="5CC681D8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</w:tc>
      </w:tr>
      <w:tr w:rsidR="00D03854" w:rsidRPr="005B7D3A" w14:paraId="34579B77" w14:textId="77777777" w:rsidTr="00D03854">
        <w:tc>
          <w:tcPr>
            <w:tcW w:w="10536" w:type="dxa"/>
            <w:shd w:val="clear" w:color="auto" w:fill="F2F2F2" w:themeFill="background1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004D272C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63F5A147" w14:textId="10B6F853" w:rsidR="002E3B9C" w:rsidRPr="005B7D3A" w:rsidRDefault="00EF2AAE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</w:tc>
      </w:tr>
      <w:tr w:rsidR="002E3B9C" w:rsidRPr="005B7D3A" w14:paraId="5FDA6189" w14:textId="77777777" w:rsidTr="004D272C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39E4187B" w14:textId="71D39C5C" w:rsidR="002E3B9C" w:rsidRPr="005B7D3A" w:rsidRDefault="002A4B7B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>
              <w:rPr>
                <w:rFonts w:cstheme="minorHAnsi"/>
                <w:i/>
                <w:iCs/>
                <w:color w:val="041425" w:themeColor="text1"/>
                <w:szCs w:val="20"/>
              </w:rPr>
              <w:t>The risk of not undertaking the change is that ECS reports, under the current design, cannot be transmitted over the DIP.</w:t>
            </w:r>
          </w:p>
          <w:p w14:paraId="5B33AF67" w14:textId="77777777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</w:p>
          <w:p w14:paraId="2512DDF9" w14:textId="7E8BFB46" w:rsidR="002E3B9C" w:rsidRPr="005B7D3A" w:rsidRDefault="002E3B9C" w:rsidP="002E3B9C">
            <w:pPr>
              <w:pStyle w:val="MHHSBody"/>
              <w:rPr>
                <w:color w:val="041425" w:themeColor="text1"/>
                <w:u w:val="single"/>
              </w:rPr>
            </w:pPr>
          </w:p>
        </w:tc>
      </w:tr>
      <w:tr w:rsidR="00A118D8" w:rsidRPr="005B7D3A" w14:paraId="67536DA8" w14:textId="77777777" w:rsidTr="00A118D8">
        <w:tc>
          <w:tcPr>
            <w:tcW w:w="10536" w:type="dxa"/>
            <w:shd w:val="clear" w:color="auto" w:fill="F2F2F2" w:themeFill="background1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004D272C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Impact Assessment respondents should consider and provide detail of any additional effect e.g. will existing risks be affected; will new risks be created?</w:t>
            </w:r>
          </w:p>
          <w:p w14:paraId="3CEB261E" w14:textId="75E8C5BF" w:rsidR="00FC7AAB" w:rsidRPr="005B7D3A" w:rsidRDefault="00FC7AAB" w:rsidP="00FC7AAB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005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1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00861AA9">
        <w:trPr>
          <w:trHeight w:val="1158"/>
        </w:trPr>
        <w:tc>
          <w:tcPr>
            <w:tcW w:w="10536" w:type="dxa"/>
            <w:shd w:val="clear" w:color="auto" w:fill="FFFFFF" w:themeFill="background1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589BC24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</w:rPr>
            </w:r>
            <w:r w:rsidRPr="005B7D3A">
              <w:rPr>
                <w:b/>
                <w:bCs/>
                <w:color w:val="041425" w:themeColor="text1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</w:rPr>
              <w:fldChar w:fldCharType="end"/>
            </w:r>
            <w:bookmarkEnd w:id="14"/>
          </w:p>
        </w:tc>
      </w:tr>
      <w:tr w:rsidR="00A43600" w:rsidRPr="005B7D3A" w14:paraId="584E09C6" w14:textId="77777777" w:rsidTr="00A43600">
        <w:tc>
          <w:tcPr>
            <w:tcW w:w="10536" w:type="dxa"/>
            <w:shd w:val="clear" w:color="auto" w:fill="F2F2F2" w:themeFill="background1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004D272C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40C5A739" w14:textId="08DCB3C0" w:rsidR="00A43600" w:rsidRPr="004B4B3C" w:rsidRDefault="00DB454A" w:rsidP="00A43600">
            <w:pPr>
              <w:pStyle w:val="MHHSBody"/>
              <w:rPr>
                <w:i/>
                <w:iCs/>
                <w:color w:val="FF0000"/>
              </w:rPr>
            </w:pPr>
            <w:r w:rsidRPr="00F62C5B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F62C5B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>add supporting commentary to support their selection.</w:t>
            </w:r>
          </w:p>
          <w:p w14:paraId="1A453227" w14:textId="3271548E" w:rsidR="00A43600" w:rsidRPr="005B7D3A" w:rsidRDefault="00A43600" w:rsidP="00A43600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lastRenderedPageBreak/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</w:rPr>
            </w:r>
            <w:r>
              <w:rPr>
                <w:b/>
                <w:bCs/>
                <w:color w:val="5161FC" w:themeColor="accent1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</w:rPr>
              <w:fldChar w:fldCharType="end"/>
            </w:r>
            <w:bookmarkEnd w:id="15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</w:rPr>
            </w:r>
            <w:r w:rsidRPr="00CD1DDD">
              <w:rPr>
                <w:color w:val="041425" w:themeColor="text1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1E7217EC" w14:textId="490154A9" w:rsidR="00124C9C" w:rsidRDefault="00124C9C" w:rsidP="001E03F6"/>
    <w:sectPr w:rsidR="00124C9C" w:rsidSect="00124C9C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D1DF" w14:textId="77777777" w:rsidR="006D67E9" w:rsidRDefault="006D67E9" w:rsidP="007F1A2A">
      <w:pPr>
        <w:spacing w:after="0" w:line="240" w:lineRule="auto"/>
      </w:pPr>
      <w:r>
        <w:separator/>
      </w:r>
    </w:p>
  </w:endnote>
  <w:endnote w:type="continuationSeparator" w:id="0">
    <w:p w14:paraId="1BE1B172" w14:textId="77777777" w:rsidR="006D67E9" w:rsidRDefault="006D67E9" w:rsidP="007F1A2A">
      <w:pPr>
        <w:spacing w:after="0" w:line="240" w:lineRule="auto"/>
      </w:pPr>
      <w:r>
        <w:continuationSeparator/>
      </w:r>
    </w:p>
  </w:endnote>
  <w:endnote w:type="continuationNotice" w:id="1">
    <w:p w14:paraId="72C2A6CF" w14:textId="77777777" w:rsidR="006D67E9" w:rsidRDefault="006D6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FB62C1" w14:textId="1483E227" w:rsidR="00685A26" w:rsidRPr="00EC05FE" w:rsidRDefault="00685A2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r>
              <w:t>Elexon Limited</w:t>
            </w:r>
            <w:r w:rsidRPr="008345BA">
              <w:t xml:space="preserve"> </w:t>
            </w:r>
            <w:r>
              <w:fldChar w:fldCharType="begin"/>
            </w:r>
            <w:r>
              <w:instrText xml:space="preserve"> DATE \@ "yyyy" \* MERGEFORMAT </w:instrText>
            </w:r>
            <w:r>
              <w:fldChar w:fldCharType="separate"/>
            </w:r>
            <w:r w:rsidR="00FD5AB6">
              <w:rPr>
                <w:noProof/>
              </w:rPr>
              <w:t>2023</w:t>
            </w:r>
            <w: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fldChar w:fldCharType="begin"/>
            </w:r>
            <w:r w:rsidRPr="008345BA">
              <w:instrText xml:space="preserve"> PAGE </w:instrText>
            </w:r>
            <w:r w:rsidRPr="008345BA">
              <w:fldChar w:fldCharType="separate"/>
            </w:r>
            <w:r w:rsidR="00633CE5">
              <w:rPr>
                <w:noProof/>
              </w:rPr>
              <w:t>2</w:t>
            </w:r>
            <w:r w:rsidRPr="008345BA">
              <w:fldChar w:fldCharType="end"/>
            </w:r>
            <w:r w:rsidRPr="008345B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633CE5">
              <w:rPr>
                <w:noProof/>
              </w:rPr>
              <w:t>10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764A" w14:textId="24253515" w:rsidR="00685A26" w:rsidRDefault="00685A26" w:rsidP="006B1803">
    <w:pPr>
      <w:pStyle w:val="Footer"/>
      <w:tabs>
        <w:tab w:val="right" w:pos="1049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5BA">
      <w:t xml:space="preserve">© </w:t>
    </w:r>
    <w:r>
      <w:t xml:space="preserve">Elexon Limited </w:t>
    </w:r>
    <w:r>
      <w:fldChar w:fldCharType="begin"/>
    </w:r>
    <w:r>
      <w:instrText xml:space="preserve"> DATE \@ "yyyy" \* MERGEFORMAT </w:instrText>
    </w:r>
    <w:r>
      <w:fldChar w:fldCharType="separate"/>
    </w:r>
    <w:r w:rsidR="00FD5AB6">
      <w:rPr>
        <w:noProof/>
      </w:rPr>
      <w:t>2023</w:t>
    </w:r>
    <w:r>
      <w:fldChar w:fldCharType="end"/>
    </w:r>
    <w:r>
      <w:tab/>
    </w:r>
    <w:r>
      <w:tab/>
    </w:r>
    <w:r>
      <w:tab/>
    </w:r>
  </w:p>
  <w:p w14:paraId="535EFADA" w14:textId="68EAE4A8" w:rsidR="00685A26" w:rsidRPr="00EC05FE" w:rsidRDefault="00685A26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96D5" w14:textId="77777777" w:rsidR="006D67E9" w:rsidRDefault="006D67E9" w:rsidP="007F1A2A">
      <w:pPr>
        <w:spacing w:after="0" w:line="240" w:lineRule="auto"/>
      </w:pPr>
      <w:r>
        <w:separator/>
      </w:r>
    </w:p>
  </w:footnote>
  <w:footnote w:type="continuationSeparator" w:id="0">
    <w:p w14:paraId="0A78BEBD" w14:textId="77777777" w:rsidR="006D67E9" w:rsidRDefault="006D67E9" w:rsidP="007F1A2A">
      <w:pPr>
        <w:spacing w:after="0" w:line="240" w:lineRule="auto"/>
      </w:pPr>
      <w:r>
        <w:continuationSeparator/>
      </w:r>
    </w:p>
  </w:footnote>
  <w:footnote w:type="continuationNotice" w:id="1">
    <w:p w14:paraId="2D413FC9" w14:textId="77777777" w:rsidR="006D67E9" w:rsidRDefault="006D67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4EF" w14:textId="590967AC" w:rsidR="00685A26" w:rsidRDefault="00685A26" w:rsidP="00EC05FE">
    <w:pPr>
      <w:pStyle w:val="Header"/>
      <w:rPr>
        <w:noProof/>
      </w:rPr>
    </w:pPr>
    <w:r>
      <w:rPr>
        <w:noProof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685A26" w:rsidRDefault="00685A26" w:rsidP="00EC05FE">
    <w:pPr>
      <w:pStyle w:val="Header"/>
      <w:rPr>
        <w:noProof/>
      </w:rPr>
    </w:pPr>
  </w:p>
  <w:p w14:paraId="507A4038" w14:textId="428D40CD" w:rsidR="00685A26" w:rsidRDefault="00685A26" w:rsidP="00EC05FE">
    <w:pPr>
      <w:pStyle w:val="Header"/>
      <w:rPr>
        <w:noProof/>
      </w:rPr>
    </w:pPr>
  </w:p>
  <w:p w14:paraId="405E6E79" w14:textId="77777777" w:rsidR="00685A26" w:rsidRPr="00EC05FE" w:rsidRDefault="00685A2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E22F1"/>
    <w:multiLevelType w:val="hybridMultilevel"/>
    <w:tmpl w:val="79FE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0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789726">
    <w:abstractNumId w:val="2"/>
  </w:num>
  <w:num w:numId="2" w16cid:durableId="492795402">
    <w:abstractNumId w:val="0"/>
  </w:num>
  <w:num w:numId="3" w16cid:durableId="1454976281">
    <w:abstractNumId w:val="9"/>
  </w:num>
  <w:num w:numId="4" w16cid:durableId="1525286192">
    <w:abstractNumId w:val="23"/>
  </w:num>
  <w:num w:numId="5" w16cid:durableId="684750792">
    <w:abstractNumId w:val="3"/>
  </w:num>
  <w:num w:numId="6" w16cid:durableId="410197131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7" w16cid:durableId="869876199">
    <w:abstractNumId w:val="13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1694070725">
    <w:abstractNumId w:val="8"/>
  </w:num>
  <w:num w:numId="9" w16cid:durableId="1166747118">
    <w:abstractNumId w:val="25"/>
  </w:num>
  <w:num w:numId="10" w16cid:durableId="664667903">
    <w:abstractNumId w:val="19"/>
  </w:num>
  <w:num w:numId="11" w16cid:durableId="256447091">
    <w:abstractNumId w:val="27"/>
  </w:num>
  <w:num w:numId="12" w16cid:durableId="2126148253">
    <w:abstractNumId w:val="17"/>
  </w:num>
  <w:num w:numId="13" w16cid:durableId="2093775197">
    <w:abstractNumId w:val="28"/>
  </w:num>
  <w:num w:numId="14" w16cid:durableId="1874423092">
    <w:abstractNumId w:val="6"/>
  </w:num>
  <w:num w:numId="15" w16cid:durableId="1183740022">
    <w:abstractNumId w:val="26"/>
  </w:num>
  <w:num w:numId="16" w16cid:durableId="976954400">
    <w:abstractNumId w:val="24"/>
  </w:num>
  <w:num w:numId="17" w16cid:durableId="368653424">
    <w:abstractNumId w:val="1"/>
  </w:num>
  <w:num w:numId="18" w16cid:durableId="1838619675">
    <w:abstractNumId w:val="4"/>
  </w:num>
  <w:num w:numId="19" w16cid:durableId="204760682">
    <w:abstractNumId w:val="22"/>
  </w:num>
  <w:num w:numId="20" w16cid:durableId="1094939067">
    <w:abstractNumId w:val="18"/>
  </w:num>
  <w:num w:numId="21" w16cid:durableId="1569878384">
    <w:abstractNumId w:val="14"/>
  </w:num>
  <w:num w:numId="22" w16cid:durableId="1062101859">
    <w:abstractNumId w:val="21"/>
  </w:num>
  <w:num w:numId="23" w16cid:durableId="663632996">
    <w:abstractNumId w:val="11"/>
  </w:num>
  <w:num w:numId="24" w16cid:durableId="1982339926">
    <w:abstractNumId w:val="5"/>
  </w:num>
  <w:num w:numId="25" w16cid:durableId="140393966">
    <w:abstractNumId w:val="7"/>
  </w:num>
  <w:num w:numId="26" w16cid:durableId="1311520326">
    <w:abstractNumId w:val="20"/>
  </w:num>
  <w:num w:numId="27" w16cid:durableId="307982088">
    <w:abstractNumId w:val="12"/>
  </w:num>
  <w:num w:numId="28" w16cid:durableId="1029067028">
    <w:abstractNumId w:val="16"/>
  </w:num>
  <w:num w:numId="29" w16cid:durableId="413015849">
    <w:abstractNumId w:val="10"/>
  </w:num>
  <w:num w:numId="30" w16cid:durableId="125393204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117E1"/>
    <w:rsid w:val="000122E4"/>
    <w:rsid w:val="00013919"/>
    <w:rsid w:val="00016BB3"/>
    <w:rsid w:val="00034C99"/>
    <w:rsid w:val="000425BF"/>
    <w:rsid w:val="00047328"/>
    <w:rsid w:val="000534B2"/>
    <w:rsid w:val="00053B5E"/>
    <w:rsid w:val="000551C9"/>
    <w:rsid w:val="00063D04"/>
    <w:rsid w:val="000644AE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406A"/>
    <w:rsid w:val="00136310"/>
    <w:rsid w:val="00143EC4"/>
    <w:rsid w:val="00145996"/>
    <w:rsid w:val="00147E8F"/>
    <w:rsid w:val="00151F9B"/>
    <w:rsid w:val="00153100"/>
    <w:rsid w:val="0015587F"/>
    <w:rsid w:val="00161DFF"/>
    <w:rsid w:val="00162CC1"/>
    <w:rsid w:val="00171AB1"/>
    <w:rsid w:val="00175E89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7E27"/>
    <w:rsid w:val="001B2B74"/>
    <w:rsid w:val="001B3F5C"/>
    <w:rsid w:val="001C2A6A"/>
    <w:rsid w:val="001C43A1"/>
    <w:rsid w:val="001C5F8C"/>
    <w:rsid w:val="001D1DE1"/>
    <w:rsid w:val="001D43CB"/>
    <w:rsid w:val="001D58BD"/>
    <w:rsid w:val="001E03F6"/>
    <w:rsid w:val="001E1FDA"/>
    <w:rsid w:val="001E621D"/>
    <w:rsid w:val="001F0244"/>
    <w:rsid w:val="001F1487"/>
    <w:rsid w:val="001F36D9"/>
    <w:rsid w:val="001F5B14"/>
    <w:rsid w:val="00200B4D"/>
    <w:rsid w:val="00202EE0"/>
    <w:rsid w:val="0021342C"/>
    <w:rsid w:val="00213736"/>
    <w:rsid w:val="002140BC"/>
    <w:rsid w:val="00214B3C"/>
    <w:rsid w:val="002177BE"/>
    <w:rsid w:val="00217B78"/>
    <w:rsid w:val="002202E5"/>
    <w:rsid w:val="00221E16"/>
    <w:rsid w:val="002226BD"/>
    <w:rsid w:val="0022317C"/>
    <w:rsid w:val="0022555D"/>
    <w:rsid w:val="00225B94"/>
    <w:rsid w:val="00225CA7"/>
    <w:rsid w:val="00226917"/>
    <w:rsid w:val="00227311"/>
    <w:rsid w:val="00233090"/>
    <w:rsid w:val="002351F0"/>
    <w:rsid w:val="00247A1C"/>
    <w:rsid w:val="00250039"/>
    <w:rsid w:val="00260CDE"/>
    <w:rsid w:val="002626FA"/>
    <w:rsid w:val="00265B8B"/>
    <w:rsid w:val="0026756E"/>
    <w:rsid w:val="0027332E"/>
    <w:rsid w:val="00275753"/>
    <w:rsid w:val="0027788D"/>
    <w:rsid w:val="002833E1"/>
    <w:rsid w:val="00284F6E"/>
    <w:rsid w:val="002855CB"/>
    <w:rsid w:val="0029174A"/>
    <w:rsid w:val="00294BAC"/>
    <w:rsid w:val="002964A1"/>
    <w:rsid w:val="002A28F3"/>
    <w:rsid w:val="002A4B7B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599"/>
    <w:rsid w:val="002C2973"/>
    <w:rsid w:val="002C2F7A"/>
    <w:rsid w:val="002C4C62"/>
    <w:rsid w:val="002C65D3"/>
    <w:rsid w:val="002D1F76"/>
    <w:rsid w:val="002D321F"/>
    <w:rsid w:val="002D533B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10D64"/>
    <w:rsid w:val="00314400"/>
    <w:rsid w:val="0031548E"/>
    <w:rsid w:val="00316D3E"/>
    <w:rsid w:val="00321D61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6112A"/>
    <w:rsid w:val="00365A87"/>
    <w:rsid w:val="00370C26"/>
    <w:rsid w:val="00371289"/>
    <w:rsid w:val="00375E65"/>
    <w:rsid w:val="00383384"/>
    <w:rsid w:val="0038723A"/>
    <w:rsid w:val="0038771D"/>
    <w:rsid w:val="00393377"/>
    <w:rsid w:val="0039425C"/>
    <w:rsid w:val="003A0677"/>
    <w:rsid w:val="003A54C8"/>
    <w:rsid w:val="003A5CB9"/>
    <w:rsid w:val="003A7CFD"/>
    <w:rsid w:val="003B298A"/>
    <w:rsid w:val="003B4E65"/>
    <w:rsid w:val="003B5EC6"/>
    <w:rsid w:val="003B6F56"/>
    <w:rsid w:val="003C5731"/>
    <w:rsid w:val="003C5BD4"/>
    <w:rsid w:val="003D3C39"/>
    <w:rsid w:val="003D620E"/>
    <w:rsid w:val="003D774C"/>
    <w:rsid w:val="003E389C"/>
    <w:rsid w:val="003F17EB"/>
    <w:rsid w:val="003F4E69"/>
    <w:rsid w:val="003F579A"/>
    <w:rsid w:val="003F7F02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40CB7"/>
    <w:rsid w:val="004509C9"/>
    <w:rsid w:val="004515FB"/>
    <w:rsid w:val="00452A2A"/>
    <w:rsid w:val="00456B64"/>
    <w:rsid w:val="00464E40"/>
    <w:rsid w:val="004704FF"/>
    <w:rsid w:val="00485627"/>
    <w:rsid w:val="00492EA8"/>
    <w:rsid w:val="004A2C6F"/>
    <w:rsid w:val="004A39A1"/>
    <w:rsid w:val="004B2ABE"/>
    <w:rsid w:val="004B4B3C"/>
    <w:rsid w:val="004C16B0"/>
    <w:rsid w:val="004C626E"/>
    <w:rsid w:val="004D0669"/>
    <w:rsid w:val="004D272C"/>
    <w:rsid w:val="004D2B8C"/>
    <w:rsid w:val="004D4723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2E50"/>
    <w:rsid w:val="00553C2E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7D3A"/>
    <w:rsid w:val="005C1B85"/>
    <w:rsid w:val="005C5880"/>
    <w:rsid w:val="005D0A89"/>
    <w:rsid w:val="005D7769"/>
    <w:rsid w:val="005E3697"/>
    <w:rsid w:val="005E4438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27CF"/>
    <w:rsid w:val="006158EE"/>
    <w:rsid w:val="00624EDC"/>
    <w:rsid w:val="00627D0E"/>
    <w:rsid w:val="00630CCA"/>
    <w:rsid w:val="00630D4A"/>
    <w:rsid w:val="00633CE5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F12"/>
    <w:rsid w:val="00656E14"/>
    <w:rsid w:val="006650DD"/>
    <w:rsid w:val="00672D21"/>
    <w:rsid w:val="00674D12"/>
    <w:rsid w:val="00685A26"/>
    <w:rsid w:val="006A2878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D67E9"/>
    <w:rsid w:val="006D740E"/>
    <w:rsid w:val="006F0122"/>
    <w:rsid w:val="006F1087"/>
    <w:rsid w:val="006F7595"/>
    <w:rsid w:val="006F799F"/>
    <w:rsid w:val="00706626"/>
    <w:rsid w:val="00706920"/>
    <w:rsid w:val="007161FF"/>
    <w:rsid w:val="0071691E"/>
    <w:rsid w:val="007211FC"/>
    <w:rsid w:val="0072282A"/>
    <w:rsid w:val="00723EC7"/>
    <w:rsid w:val="00727848"/>
    <w:rsid w:val="00733DBA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4538"/>
    <w:rsid w:val="00771E35"/>
    <w:rsid w:val="007730FE"/>
    <w:rsid w:val="0077359A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26EE"/>
    <w:rsid w:val="007A4794"/>
    <w:rsid w:val="007B21B5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78F8"/>
    <w:rsid w:val="007E4398"/>
    <w:rsid w:val="007F1A2A"/>
    <w:rsid w:val="00800DEE"/>
    <w:rsid w:val="00802929"/>
    <w:rsid w:val="00803A0E"/>
    <w:rsid w:val="0080680C"/>
    <w:rsid w:val="008075A8"/>
    <w:rsid w:val="008117C8"/>
    <w:rsid w:val="00821C7D"/>
    <w:rsid w:val="008222C3"/>
    <w:rsid w:val="00822AB4"/>
    <w:rsid w:val="00824F87"/>
    <w:rsid w:val="008306A7"/>
    <w:rsid w:val="0083260C"/>
    <w:rsid w:val="00832D21"/>
    <w:rsid w:val="00832F59"/>
    <w:rsid w:val="008345BA"/>
    <w:rsid w:val="008409F5"/>
    <w:rsid w:val="00840B1F"/>
    <w:rsid w:val="008479FE"/>
    <w:rsid w:val="008502D7"/>
    <w:rsid w:val="0085152A"/>
    <w:rsid w:val="00852507"/>
    <w:rsid w:val="00853AB2"/>
    <w:rsid w:val="00857CDC"/>
    <w:rsid w:val="008602A0"/>
    <w:rsid w:val="00860610"/>
    <w:rsid w:val="00860CDE"/>
    <w:rsid w:val="00861AA9"/>
    <w:rsid w:val="00863415"/>
    <w:rsid w:val="008645DE"/>
    <w:rsid w:val="008661B3"/>
    <w:rsid w:val="00867E08"/>
    <w:rsid w:val="00875B37"/>
    <w:rsid w:val="0087719A"/>
    <w:rsid w:val="00877C33"/>
    <w:rsid w:val="008816F9"/>
    <w:rsid w:val="00892B30"/>
    <w:rsid w:val="008946DB"/>
    <w:rsid w:val="00894F9F"/>
    <w:rsid w:val="008A0C13"/>
    <w:rsid w:val="008A16C2"/>
    <w:rsid w:val="008A2ECC"/>
    <w:rsid w:val="008A3ACD"/>
    <w:rsid w:val="008C07D4"/>
    <w:rsid w:val="008C1D48"/>
    <w:rsid w:val="008D0B78"/>
    <w:rsid w:val="008D4068"/>
    <w:rsid w:val="008E2C3D"/>
    <w:rsid w:val="008F0321"/>
    <w:rsid w:val="008F4B86"/>
    <w:rsid w:val="008F4F0F"/>
    <w:rsid w:val="00903894"/>
    <w:rsid w:val="00904932"/>
    <w:rsid w:val="009056D8"/>
    <w:rsid w:val="0091216C"/>
    <w:rsid w:val="0091604F"/>
    <w:rsid w:val="009205D6"/>
    <w:rsid w:val="00924F48"/>
    <w:rsid w:val="00924FC6"/>
    <w:rsid w:val="00925D57"/>
    <w:rsid w:val="00932214"/>
    <w:rsid w:val="00933D57"/>
    <w:rsid w:val="0093434A"/>
    <w:rsid w:val="00937090"/>
    <w:rsid w:val="009377EA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77766"/>
    <w:rsid w:val="009806B6"/>
    <w:rsid w:val="00980FF1"/>
    <w:rsid w:val="009943F7"/>
    <w:rsid w:val="00996912"/>
    <w:rsid w:val="009A0EA7"/>
    <w:rsid w:val="009A4F56"/>
    <w:rsid w:val="009A5E85"/>
    <w:rsid w:val="009A66FE"/>
    <w:rsid w:val="009A698C"/>
    <w:rsid w:val="009A7AD3"/>
    <w:rsid w:val="009B0522"/>
    <w:rsid w:val="009B1E3D"/>
    <w:rsid w:val="009B5A50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2063E"/>
    <w:rsid w:val="00A2154A"/>
    <w:rsid w:val="00A22104"/>
    <w:rsid w:val="00A31446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29C5"/>
    <w:rsid w:val="00A92AE4"/>
    <w:rsid w:val="00A952CE"/>
    <w:rsid w:val="00A9584C"/>
    <w:rsid w:val="00A963DA"/>
    <w:rsid w:val="00AA02FD"/>
    <w:rsid w:val="00AA06FD"/>
    <w:rsid w:val="00AA070B"/>
    <w:rsid w:val="00AA49E7"/>
    <w:rsid w:val="00AA6D2A"/>
    <w:rsid w:val="00AB196D"/>
    <w:rsid w:val="00AB6329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F2398"/>
    <w:rsid w:val="00AF4AE2"/>
    <w:rsid w:val="00AF65C8"/>
    <w:rsid w:val="00B0254B"/>
    <w:rsid w:val="00B14091"/>
    <w:rsid w:val="00B142DB"/>
    <w:rsid w:val="00B14826"/>
    <w:rsid w:val="00B20F2E"/>
    <w:rsid w:val="00B33F02"/>
    <w:rsid w:val="00B437F5"/>
    <w:rsid w:val="00B5112E"/>
    <w:rsid w:val="00B5291F"/>
    <w:rsid w:val="00B534FD"/>
    <w:rsid w:val="00B53712"/>
    <w:rsid w:val="00B53B94"/>
    <w:rsid w:val="00B55C71"/>
    <w:rsid w:val="00B61319"/>
    <w:rsid w:val="00B61CC4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7319"/>
    <w:rsid w:val="00B85570"/>
    <w:rsid w:val="00B86D2D"/>
    <w:rsid w:val="00B87B44"/>
    <w:rsid w:val="00BA06BC"/>
    <w:rsid w:val="00BA0E67"/>
    <w:rsid w:val="00BA3D8A"/>
    <w:rsid w:val="00BA4845"/>
    <w:rsid w:val="00BB22CC"/>
    <w:rsid w:val="00BB51C7"/>
    <w:rsid w:val="00BB5A03"/>
    <w:rsid w:val="00BC030A"/>
    <w:rsid w:val="00BC6F33"/>
    <w:rsid w:val="00BD452B"/>
    <w:rsid w:val="00BD643B"/>
    <w:rsid w:val="00BE34A8"/>
    <w:rsid w:val="00BE35A0"/>
    <w:rsid w:val="00BF3777"/>
    <w:rsid w:val="00BF4306"/>
    <w:rsid w:val="00BF721F"/>
    <w:rsid w:val="00C05C6B"/>
    <w:rsid w:val="00C07B56"/>
    <w:rsid w:val="00C100EA"/>
    <w:rsid w:val="00C12829"/>
    <w:rsid w:val="00C156B6"/>
    <w:rsid w:val="00C16E52"/>
    <w:rsid w:val="00C16ED6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4169B"/>
    <w:rsid w:val="00C42F75"/>
    <w:rsid w:val="00C44422"/>
    <w:rsid w:val="00C4747F"/>
    <w:rsid w:val="00C51C7E"/>
    <w:rsid w:val="00C52AB7"/>
    <w:rsid w:val="00C53E85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97BC7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9C7"/>
    <w:rsid w:val="00CF52C6"/>
    <w:rsid w:val="00CF7251"/>
    <w:rsid w:val="00D03854"/>
    <w:rsid w:val="00D03E89"/>
    <w:rsid w:val="00D04216"/>
    <w:rsid w:val="00D07165"/>
    <w:rsid w:val="00D07618"/>
    <w:rsid w:val="00D10E21"/>
    <w:rsid w:val="00D16734"/>
    <w:rsid w:val="00D177E0"/>
    <w:rsid w:val="00D2357E"/>
    <w:rsid w:val="00D259EC"/>
    <w:rsid w:val="00D25E17"/>
    <w:rsid w:val="00D26A04"/>
    <w:rsid w:val="00D27FDF"/>
    <w:rsid w:val="00D30AB8"/>
    <w:rsid w:val="00D31E0A"/>
    <w:rsid w:val="00D33340"/>
    <w:rsid w:val="00D4141A"/>
    <w:rsid w:val="00D51039"/>
    <w:rsid w:val="00D51932"/>
    <w:rsid w:val="00D53C17"/>
    <w:rsid w:val="00D548FF"/>
    <w:rsid w:val="00D573FC"/>
    <w:rsid w:val="00D70274"/>
    <w:rsid w:val="00D70A75"/>
    <w:rsid w:val="00D72E14"/>
    <w:rsid w:val="00D7364B"/>
    <w:rsid w:val="00D74672"/>
    <w:rsid w:val="00D769F6"/>
    <w:rsid w:val="00D87729"/>
    <w:rsid w:val="00D87C80"/>
    <w:rsid w:val="00D94CB0"/>
    <w:rsid w:val="00D95C8E"/>
    <w:rsid w:val="00D96220"/>
    <w:rsid w:val="00DA7370"/>
    <w:rsid w:val="00DA7DFB"/>
    <w:rsid w:val="00DB454A"/>
    <w:rsid w:val="00DC598C"/>
    <w:rsid w:val="00DD0965"/>
    <w:rsid w:val="00DD0CF2"/>
    <w:rsid w:val="00DD57EC"/>
    <w:rsid w:val="00DD5E3A"/>
    <w:rsid w:val="00DD5E95"/>
    <w:rsid w:val="00DD5EC3"/>
    <w:rsid w:val="00DF1A93"/>
    <w:rsid w:val="00DF20B2"/>
    <w:rsid w:val="00DF68B7"/>
    <w:rsid w:val="00E00CFE"/>
    <w:rsid w:val="00E03B82"/>
    <w:rsid w:val="00E072FE"/>
    <w:rsid w:val="00E07469"/>
    <w:rsid w:val="00E14035"/>
    <w:rsid w:val="00E174AA"/>
    <w:rsid w:val="00E20B3C"/>
    <w:rsid w:val="00E2427A"/>
    <w:rsid w:val="00E249BA"/>
    <w:rsid w:val="00E25D94"/>
    <w:rsid w:val="00E309D6"/>
    <w:rsid w:val="00E37288"/>
    <w:rsid w:val="00E40B6D"/>
    <w:rsid w:val="00E42681"/>
    <w:rsid w:val="00E46A70"/>
    <w:rsid w:val="00E46F71"/>
    <w:rsid w:val="00E50124"/>
    <w:rsid w:val="00E51466"/>
    <w:rsid w:val="00E535A2"/>
    <w:rsid w:val="00E6009D"/>
    <w:rsid w:val="00E620EC"/>
    <w:rsid w:val="00E645F4"/>
    <w:rsid w:val="00E7057C"/>
    <w:rsid w:val="00E7199D"/>
    <w:rsid w:val="00E720F1"/>
    <w:rsid w:val="00E72E1B"/>
    <w:rsid w:val="00E73FC2"/>
    <w:rsid w:val="00E757ED"/>
    <w:rsid w:val="00E85582"/>
    <w:rsid w:val="00E86758"/>
    <w:rsid w:val="00E86804"/>
    <w:rsid w:val="00EA08AA"/>
    <w:rsid w:val="00EA4A67"/>
    <w:rsid w:val="00EB392E"/>
    <w:rsid w:val="00EB56C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2AAE"/>
    <w:rsid w:val="00EF398E"/>
    <w:rsid w:val="00F027A4"/>
    <w:rsid w:val="00F06E2D"/>
    <w:rsid w:val="00F10419"/>
    <w:rsid w:val="00F14B16"/>
    <w:rsid w:val="00F15A22"/>
    <w:rsid w:val="00F225CF"/>
    <w:rsid w:val="00F23C5D"/>
    <w:rsid w:val="00F24BA3"/>
    <w:rsid w:val="00F251A3"/>
    <w:rsid w:val="00F346D7"/>
    <w:rsid w:val="00F37521"/>
    <w:rsid w:val="00F41B94"/>
    <w:rsid w:val="00F43087"/>
    <w:rsid w:val="00F54098"/>
    <w:rsid w:val="00F5586A"/>
    <w:rsid w:val="00F6156E"/>
    <w:rsid w:val="00F62C5B"/>
    <w:rsid w:val="00F71A0E"/>
    <w:rsid w:val="00F84704"/>
    <w:rsid w:val="00F86912"/>
    <w:rsid w:val="00F86A0D"/>
    <w:rsid w:val="00F902D6"/>
    <w:rsid w:val="00F90BB1"/>
    <w:rsid w:val="00F94CF8"/>
    <w:rsid w:val="00FA4E2F"/>
    <w:rsid w:val="00FA787B"/>
    <w:rsid w:val="00FB7746"/>
    <w:rsid w:val="00FC1DCC"/>
    <w:rsid w:val="00FC277F"/>
    <w:rsid w:val="00FC7AAB"/>
    <w:rsid w:val="00FD5AB6"/>
    <w:rsid w:val="00FD5BE0"/>
    <w:rsid w:val="00FD7563"/>
    <w:rsid w:val="00FE2312"/>
    <w:rsid w:val="00FE290A"/>
    <w:rsid w:val="00FE3070"/>
    <w:rsid w:val="00FF29E7"/>
    <w:rsid w:val="00FF3408"/>
    <w:rsid w:val="00FF43EF"/>
    <w:rsid w:val="05CA854B"/>
    <w:rsid w:val="072F2146"/>
    <w:rsid w:val="1A8F7853"/>
    <w:rsid w:val="1F2D3520"/>
    <w:rsid w:val="331D314E"/>
    <w:rsid w:val="4BD10F9C"/>
    <w:rsid w:val="6BCE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998B9D67-20D7-41F9-A5EC-130567B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3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3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3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7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7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2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1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5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6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9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9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9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9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8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table" w:styleId="GridTable7ColourfulAccent1">
    <w:name w:val="Grid Table 7 Colorful Accent 1"/>
    <w:basedOn w:val="TableNormal"/>
    <w:uiPriority w:val="52"/>
    <w:rsid w:val="00F225CF"/>
    <w:pPr>
      <w:spacing w:after="0" w:line="240" w:lineRule="auto"/>
    </w:pPr>
    <w:rPr>
      <w:color w:val="041AF5" w:themeColor="accent1" w:themeShade="BF"/>
    </w:rPr>
    <w:tblPr>
      <w:tblStyleRowBandSize w:val="1"/>
      <w:tblStyleColBandSize w:val="1"/>
      <w:tblBorders>
        <w:top w:val="single" w:sz="4" w:space="0" w:color="969FFD" w:themeColor="accent1" w:themeTint="99"/>
        <w:left w:val="single" w:sz="4" w:space="0" w:color="969FFD" w:themeColor="accent1" w:themeTint="99"/>
        <w:bottom w:val="single" w:sz="4" w:space="0" w:color="969FFD" w:themeColor="accent1" w:themeTint="99"/>
        <w:right w:val="single" w:sz="4" w:space="0" w:color="969FFD" w:themeColor="accent1" w:themeTint="99"/>
        <w:insideH w:val="single" w:sz="4" w:space="0" w:color="969FFD" w:themeColor="accent1" w:themeTint="99"/>
        <w:insideV w:val="single" w:sz="4" w:space="0" w:color="969FF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EFE" w:themeFill="accent1" w:themeFillTint="33"/>
      </w:tcPr>
    </w:tblStylePr>
    <w:tblStylePr w:type="band1Horz">
      <w:tblPr/>
      <w:tcPr>
        <w:shd w:val="clear" w:color="auto" w:fill="DBDEFE" w:themeFill="accent1" w:themeFillTint="33"/>
      </w:tcPr>
    </w:tblStylePr>
    <w:tblStylePr w:type="neCell">
      <w:tblPr/>
      <w:tcPr>
        <w:tcBorders>
          <w:bottom w:val="single" w:sz="4" w:space="0" w:color="969FFD" w:themeColor="accent1" w:themeTint="99"/>
        </w:tcBorders>
      </w:tcPr>
    </w:tblStylePr>
    <w:tblStylePr w:type="nwCell">
      <w:tblPr/>
      <w:tcPr>
        <w:tcBorders>
          <w:bottom w:val="single" w:sz="4" w:space="0" w:color="969FFD" w:themeColor="accent1" w:themeTint="99"/>
        </w:tcBorders>
      </w:tcPr>
    </w:tblStylePr>
    <w:tblStylePr w:type="seCell">
      <w:tblPr/>
      <w:tcPr>
        <w:tcBorders>
          <w:top w:val="single" w:sz="4" w:space="0" w:color="969FFD" w:themeColor="accent1" w:themeTint="99"/>
        </w:tcBorders>
      </w:tcPr>
    </w:tblStylePr>
    <w:tblStylePr w:type="swCell">
      <w:tblPr/>
      <w:tcPr>
        <w:tcBorders>
          <w:top w:val="single" w:sz="4" w:space="0" w:color="969FFD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F225CF"/>
    <w:pPr>
      <w:spacing w:after="0" w:line="240" w:lineRule="auto"/>
    </w:pPr>
    <w:tblPr>
      <w:tblStyleRowBandSize w:val="1"/>
      <w:tblStyleColBandSize w:val="1"/>
      <w:tblBorders>
        <w:top w:val="single" w:sz="4" w:space="0" w:color="B9BFFD" w:themeColor="accent1" w:themeTint="66"/>
        <w:left w:val="single" w:sz="4" w:space="0" w:color="B9BFFD" w:themeColor="accent1" w:themeTint="66"/>
        <w:bottom w:val="single" w:sz="4" w:space="0" w:color="B9BFFD" w:themeColor="accent1" w:themeTint="66"/>
        <w:right w:val="single" w:sz="4" w:space="0" w:color="B9BFFD" w:themeColor="accent1" w:themeTint="66"/>
        <w:insideH w:val="single" w:sz="4" w:space="0" w:color="B9BFFD" w:themeColor="accent1" w:themeTint="66"/>
        <w:insideV w:val="single" w:sz="4" w:space="0" w:color="B9BF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9F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F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Action_x0020_With xmlns="c712b3fb-dfa4-408d-ba67-c014ff684e9a">Public</Action_x0020_With>
    <Security_x0020_Classification xmlns="336dc6f7-e858-42a6-bc18-5509d747a3d8">PUBLIC</Security_x0020_Classification>
    <V xmlns="c712b3fb-dfa4-408d-ba67-c014ff684e9a">1.2</V>
    <_DCDateModified xmlns="http://schemas.microsoft.com/sharepoint/v3/fields" xsi:nil="true"/>
    <Doc_x0020_Number xmlns="336dc6f7-e858-42a6-bc18-5509d747a3d8">Del1475</Doc_x0020_Number>
    <CR xmlns="c712b3fb-dfa4-408d-ba67-c014ff684e9a">CR030</CR>
    <Short_x0020_Name xmlns="336dc6f7-e858-42a6-bc18-5509d747a3d8">CR030 Change Request</Short_x0020_Name>
    <Word_x0020_Doc_x0020__x002d__x0020_Temp xmlns="c712b3fb-dfa4-408d-ba67-c014ff684e9a">false</Word_x0020_Doc_x0020__x002d__x0020_Temp>
    <Theme xmlns="c712b3fb-dfa4-408d-ba67-c014ff684e9a">Request Forms</Theme>
    <Sub_x0020_Type xmlns="c712b3fb-dfa4-408d-ba67-c014ff684e9a">Change Request</Sub_x0020_Type>
    <Archive xmlns="c712b3fb-dfa4-408d-ba67-c014ff684e9a">false</Archi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d8f7c94a-fa99-4e16-89fd-b2155d7f05ac"/>
    <ds:schemaRef ds:uri="336dc6f7-e858-42a6-bc18-5509d747a3d8"/>
  </ds:schemaRefs>
</ds:datastoreItem>
</file>

<file path=customXml/itemProps2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FBC5B-CBD2-4A75-9AFA-8EBF45BC0C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879375-3E82-43EE-94DD-C14FA52AF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MHHS-DEL173-Change-Request-Form_Template-v1.1</vt:lpstr>
    </vt:vector>
  </TitlesOfParts>
  <Company/>
  <LinksUpToDate>false</LinksUpToDate>
  <CharactersWithSpaces>17514</CharactersWithSpaces>
  <SharedDoc>false</SharedDoc>
  <HLinks>
    <vt:vector size="18" baseType="variant"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https://mhhsprogramme-production-cdn.s3.eu-west-2.amazonaws.com/wp-content/uploads/2022/05/18141427/MHHS_transition_timetable_updated_May_2022_following_CR001_and_CR003_approval.xlsx</vt:lpwstr>
      </vt:variant>
      <vt:variant>
        <vt:lpwstr/>
      </vt:variant>
      <vt:variant>
        <vt:i4>5046359</vt:i4>
      </vt:variant>
      <vt:variant>
        <vt:i4>3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https://mhhsprogramme-production-cdn.s3.eu-west-2.amazonaws.com/wp-content/uploads/2022/03/10171920/MHHS-DEL-030-MHHS-Programme-Governance-Framework-V2.4.pdf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https://mhhsprogramme-production-cdn.s3.eu-west-2.amazonaws.com/wp-content/uploads/2022/05/05163837/MHHS-DEL171-Change-Control-Approach-Published-v1.0.pdf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MHHS-DEL173-Change-Request-Form_Template-v1.1</dc:title>
  <dc:subject/>
  <dc:creator>Nick Coomber</dc:creator>
  <cp:keywords/>
  <dc:description/>
  <cp:lastModifiedBy>Immy Syms</cp:lastModifiedBy>
  <cp:revision>2</cp:revision>
  <dcterms:created xsi:type="dcterms:W3CDTF">2023-08-11T10:07:00Z</dcterms:created>
  <dcterms:modified xsi:type="dcterms:W3CDTF">2023-08-11T10:07:00Z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